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pStyle w:val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jc w:val="both"/>
        <w:rPr>
          <w:rFonts w:ascii="Times New Roman" w:hAnsi="Times New Roman" w:eastAsia="Roboto" w:cs="Times New Roman"/>
          <w:color w:val="000000"/>
          <w:sz w:val="28"/>
          <w:szCs w:val="28"/>
        </w:rPr>
      </w:pP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ru-RU"/>
        </w:rPr>
        <w:t xml:space="preserve">регулировании некоторых вопросов по несению государственной и иной службы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гражданами Российской Федерации, являющимися членами казачьих обществ.</w:t>
      </w:r>
      <w:r/>
    </w:p>
    <w:p>
      <w:pPr>
        <w:pStyle w:val="895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95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95"/>
        <w:ind w:firstLine="709"/>
        <w:jc w:val="both"/>
        <w:spacing w:line="360" w:lineRule="auto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соответствии с Федеральным законом от 05.12.2005 № 154-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ФЗ </w:t>
        <w:br/>
        <w:t xml:space="preserve">«О государственной службе российского казачества», Указом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тельств по несению государственной или иной службы»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постановлением Правительства Российской Федерации</w:t>
        <w:br/>
        <w:t xml:space="preserve">от 08.10.2009 № 806 «О порядке привлечения членов казачьих обществ к несению государственной или иной службы и порядке заключ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ения федеральными органами исполнительной власти и (или) их территориальными органами договоров (соглашений) с казачьими обществами»</w:t>
      </w:r>
      <w:r/>
    </w:p>
    <w:p>
      <w:pPr>
        <w:pStyle w:val="895"/>
        <w:ind w:left="0" w:right="0" w:firstLine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5"/>
        <w:ind w:firstLine="709"/>
        <w:jc w:val="both"/>
        <w:spacing w:line="360" w:lineRule="auto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Утвердить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прилагаемое положение о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порядке принятия гражданами Российской Федерации, являющимися членами казачьих обществ, обязательств по несению государственной и иной служб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ы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области, заключения органами исполнительной власти, формируемыми правительством Еврейской автономной области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Амурского окружно</w:t>
      </w:r>
      <w:r>
        <w:rPr>
          <w:rFonts w:ascii="Times New Roman" w:hAnsi="Times New Roman" w:cs="Times New Roman"/>
          <w:sz w:val="28"/>
          <w:szCs w:val="28"/>
        </w:rPr>
        <w:t xml:space="preserve">го казачьего общества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95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  <w:lang w:val="en-US"/>
        </w:rPr>
        <w:t xml:space="preserve">2.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Утвердить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прилагаемое положение о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порядке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членов хуторскими, станичными, городскими казачьими обществами и финансирования Службы Средне-Амурского окружного казачьего общества Еврейской автономной области к несению государственной или иной службы Еврейской автономной области.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/>
    </w:p>
    <w:p>
      <w:pPr>
        <w:pStyle w:val="895"/>
        <w:ind w:firstLine="709"/>
        <w:jc w:val="both"/>
        <w:spacing w:line="360" w:lineRule="auto"/>
        <w:rPr>
          <w:highlight w:val="none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Р.Э. Гольдштейн</w:t>
      </w:r>
      <w:r/>
    </w:p>
    <w:p>
      <w:pPr>
        <w:pStyle w:val="895"/>
        <w:jc w:val="center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/>
    </w:p>
    <w:p>
      <w:pPr>
        <w:pStyle w:val="895"/>
        <w:jc w:val="center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/>
    </w:p>
    <w:p>
      <w:pPr>
        <w:contextualSpacing/>
        <w:ind w:left="5954"/>
        <w:spacing w:line="240" w:lineRule="auto"/>
        <w:tabs>
          <w:tab w:val="left" w:pos="4819" w:leader="none"/>
          <w:tab w:val="left" w:pos="5954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5954"/>
        <w:jc w:val="both"/>
        <w:spacing w:line="240" w:lineRule="auto"/>
        <w:tabs>
          <w:tab w:val="left" w:pos="4819" w:leader="none"/>
          <w:tab w:val="left" w:pos="5954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5954"/>
        <w:jc w:val="both"/>
        <w:spacing w:line="240" w:lineRule="auto"/>
        <w:tabs>
          <w:tab w:val="left" w:pos="4819" w:leader="none"/>
          <w:tab w:val="left" w:pos="5954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губернатора 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5954"/>
        <w:jc w:val="both"/>
        <w:tabs>
          <w:tab w:val="left" w:pos="5954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 № _______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895"/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/>
    </w:p>
    <w:p>
      <w:pPr>
        <w:pStyle w:val="895"/>
        <w:jc w:val="center"/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ПОЛОЖЕНИЕ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/>
    </w:p>
    <w:p>
      <w:pPr>
        <w:pStyle w:val="895"/>
        <w:jc w:val="center"/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о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порядке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членов хуторскими, станичными, городскими казачьими обществами и финансирования службы Средне-Амурского окружного казачьего общества Еврейской автономной области к несению государственной или иной службы Еврейской автономной области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</w:r>
      <w:r/>
    </w:p>
    <w:p>
      <w:pPr>
        <w:pStyle w:val="895"/>
        <w:jc w:val="center"/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</w:r>
      <w:r/>
    </w:p>
    <w:p>
      <w:pPr>
        <w:pStyle w:val="895"/>
        <w:contextualSpacing w:val="0"/>
        <w:ind w:left="0" w:right="0" w:firstLine="709"/>
        <w:jc w:val="both"/>
        <w:rPr>
          <w:rFonts w:ascii="Times New Roman" w:hAnsi="Times New Roman" w:eastAsia="Arial" w:cs="Times New Roman"/>
          <w:color w:val="000000"/>
        </w:rPr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членов хуторскими, станичными, городскими казачьими обществами и финансирования службы Средне-Амурского окружного казачьего общества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к несению государственной или иной службы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color w:val="000000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К несению службы привлекаются принявшие в установленном порядке обязательства по несению службы члены казачьих обществ</w:t>
      </w:r>
      <w:r>
        <w:rPr>
          <w:rFonts w:ascii="Times New Roman" w:hAnsi="Times New Roman" w:cs="Times New Roman"/>
          <w:sz w:val="28"/>
          <w:szCs w:val="28"/>
        </w:rPr>
        <w:t xml:space="preserve"> Средне-Амурского окружного казачьего общества (далее – САОКО)</w:t>
      </w:r>
      <w:r/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внесенных в государственный реестр казачьих обществ 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Привлечение членов казачьих обществ САОКО к несению службы осуществляется органами исполнительной власти,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формируемыми правительством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в соответствии с принятыми членами казачьих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обществ и согласованными с указанными органами обязательствами по несению службы, отнесенной законодательством Российской Федерации и (или) законодательством субъектов Российской Федерации к ведению этих органов.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4. Порядок согласования принятых членами казачьих обществ САОКО обязательств по несению службы органами исполнительной власти,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формируемыми правительством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определяется Федеральны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м агентством по делам национальностей.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5. Члены казачьих обществ САОКО могут привлекаться к несению службы в следующих формах: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 прохождение государственной гражданской службы, военной службы, федеральной государственной службы, связанной с правоохранительной деятельностью, а также муниципальной службы;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оказание содействия органам исполнительной власти,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формируемых правительством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в осуществлении установленных задач и функций.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6. П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рохождение членами казачьего общества САОКО государственной гражданской службы, связанной с правоохранительной деятельностью, осуществляется на основании договоров (соглашений), служебных контракто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(контрактов), заключаемых в установленном законодательством Российской Федерации порядке.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7. Прохождение членами казачьего общества САОКО военной службы осуществляется по призыву и в добровольном порядке (по контракту)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8. Оказание членами казачьего общества САОКО содействия органам исполнительной власти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формируемых правительством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в осуществлении установленных зад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ач и функций осуществляется на основании договоров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(соглашений)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9. Договоры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(соглашения)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оформляются в соответствии с формой договора,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по делам национальностей от 23.11.2015 № 89 «Об утверждении Порядка согласования п</w:t>
      </w:r>
      <w:r>
        <w:rPr>
          <w:rFonts w:ascii="Times New Roman" w:hAnsi="Times New Roman" w:cs="Times New Roman"/>
          <w:sz w:val="28"/>
          <w:szCs w:val="28"/>
        </w:rPr>
        <w:t xml:space="preserve">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10. Решение о заключении органом исполнительной власти,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формируемым правительством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договора принимает соответственно руководитель органа исполнительной власти,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формируемого правительством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11. Договор подписывается руководителем органа исполнительной власти,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формируемого правительством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с одной стороны, и атаманом казачьего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общества САОКО - с другой стороны.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12. В случае досрочного расторжения договора, заключенного между  органом исполнительной власти,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 ф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ормируемым правительством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и казачьими обществами САОКО, могут быть досрочно р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асторгнуты.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contextualSpacing w:val="0"/>
        <w:ind w:left="0" w:right="0" w:firstLine="709"/>
        <w:jc w:val="both"/>
        <w:suppressLineNumbers w:val="0"/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13. В договоре должны быть определены предмет договора, условия и порядок привлечения членов казачьих обществ САОКО к содействию органам исполнительной власти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, ф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ормируемых правительством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в осуществлении установленных задач и функций, права и 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contextualSpacing/>
        <w:ind w:firstLine="709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15. Условия финансирования расходов, связанных с выполнением членами казачьих обществ САОКО установленных задач и функций по несению службы, являются нео</w:t>
      </w:r>
      <w:r>
        <w:rPr>
          <w:rFonts w:ascii="Times New Roman" w:hAnsi="Times New Roman" w:cs="Times New Roman"/>
          <w:sz w:val="28"/>
          <w:szCs w:val="28"/>
        </w:rPr>
        <w:t xml:space="preserve">тъемлемой частью каждого договора (соглашения).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16. Финансирование расходов органов исполнительной власти, предусмотренных договором (соглашением), осуществляется в установленном законодательством порядке и в пределах бюджетных ассигн</w:t>
      </w:r>
      <w:r>
        <w:rPr>
          <w:rFonts w:ascii="Times New Roman" w:hAnsi="Times New Roman" w:cs="Times New Roman"/>
          <w:sz w:val="28"/>
          <w:szCs w:val="28"/>
        </w:rPr>
        <w:t xml:space="preserve">ований, утвержденных законом Еврейской автономной области на соответствующий финансовой год и на плановый период.</w:t>
      </w:r>
      <w:r>
        <w:rPr>
          <w:rFonts w:ascii="Times New Roman" w:hAnsi="Times New Roman" w:cs="Times New Roman"/>
        </w:rPr>
      </w:r>
      <w:r/>
    </w:p>
    <w:p>
      <w:pPr>
        <w:contextualSpacing/>
        <w:ind w:left="5954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11"/>
          <w:footnotePr/>
          <w:endnotePr/>
          <w:type w:val="nextPage"/>
          <w:pgSz w:w="11906" w:h="16838" w:orient="portrait"/>
          <w:pgMar w:top="954" w:right="850" w:bottom="96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954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УТВЕРЖДЕНО </w:t>
      </w:r>
      <w:r>
        <w:rPr>
          <w:highlight w:val="none"/>
        </w:rPr>
      </w:r>
      <w:r/>
    </w:p>
    <w:p>
      <w:pPr>
        <w:contextualSpacing/>
        <w:ind w:left="5954"/>
        <w:jc w:val="both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contextualSpacing/>
        <w:ind w:left="5954"/>
        <w:jc w:val="both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губернатора  Еврейской автономной области</w:t>
      </w:r>
      <w:r>
        <w:rPr>
          <w:highlight w:val="none"/>
        </w:rPr>
      </w:r>
      <w:r/>
    </w:p>
    <w:p>
      <w:pPr>
        <w:contextualSpacing/>
        <w:ind w:left="5954"/>
        <w:jc w:val="both"/>
        <w:tabs>
          <w:tab w:val="left" w:pos="5954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 № _______</w:t>
      </w:r>
      <w:r>
        <w:rPr>
          <w:highlight w:val="none"/>
        </w:rPr>
      </w:r>
      <w:r/>
    </w:p>
    <w:p>
      <w:pPr>
        <w:pStyle w:val="895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895"/>
        <w:jc w:val="center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ПОЛОЖЕНИЕ</w:t>
      </w:r>
      <w:r>
        <w:rPr>
          <w:highlight w:val="none"/>
        </w:rPr>
      </w:r>
      <w:r/>
    </w:p>
    <w:p>
      <w:pPr>
        <w:pStyle w:val="8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о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порядке принятия гражданами Российской Федерации, являющимися членами казачьих обществ, обязательств по несению государственной и иной служб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ы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области, заключения органами исполнительной власти, формируемыми правительством Еврейской автономной области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Амурского окружно</w:t>
      </w:r>
      <w:r>
        <w:rPr>
          <w:rFonts w:ascii="Times New Roman" w:hAnsi="Times New Roman" w:cs="Times New Roman"/>
          <w:sz w:val="28"/>
          <w:szCs w:val="28"/>
        </w:rPr>
        <w:t xml:space="preserve">го казачьего общества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yellow"/>
        </w:rPr>
      </w:r>
      <w:r/>
    </w:p>
    <w:p>
      <w:pPr>
        <w:pStyle w:val="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гражданами Российской Федерации, являющимися членами казачьих обществ, обязательств по несению государственной и иной служб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ы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области, заключения органами исполнительной власти, формируемыми правительством Еврейской автономной области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Амурского окружно</w:t>
      </w:r>
      <w:r>
        <w:rPr>
          <w:rFonts w:ascii="Times New Roman" w:hAnsi="Times New Roman" w:cs="Times New Roman"/>
          <w:sz w:val="28"/>
          <w:szCs w:val="28"/>
        </w:rPr>
        <w:t xml:space="preserve">го казачьего общества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95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Казачьи</w:t>
      </w:r>
      <w:r>
        <w:rPr>
          <w:rFonts w:ascii="Times New Roman" w:hAnsi="Times New Roman" w:cs="Times New Roman"/>
          <w:sz w:val="28"/>
          <w:szCs w:val="28"/>
        </w:rPr>
        <w:t xml:space="preserve"> общества, входящие в состав </w:t>
      </w:r>
      <w:r>
        <w:rPr>
          <w:rFonts w:ascii="Times New Roman" w:hAnsi="Times New Roman" w:cs="Times New Roman"/>
          <w:sz w:val="28"/>
          <w:szCs w:val="28"/>
        </w:rPr>
        <w:t xml:space="preserve">Средне-Амурского окружного казачьего общества (далее – САОКО)</w:t>
      </w:r>
      <w:r>
        <w:rPr>
          <w:rFonts w:ascii="Times New Roman" w:hAnsi="Times New Roman" w:cs="Times New Roman"/>
          <w:sz w:val="28"/>
          <w:szCs w:val="28"/>
        </w:rPr>
        <w:t xml:space="preserve">, включенные в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реестр казачьих обществ в Российской Федерации, принимают обязательства по несению службы по решению Совета атаманов САОКО, действующего на территории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Члены хуторского, станичного, городского казачьего общества представляют в письменной форме заявления о принятии обязательств по несению службы на имя атамана соответствующего казачьего общества. Атаман казачьего общества представляет указанные заявле</w:t>
      </w:r>
      <w:r>
        <w:rPr>
          <w:rFonts w:ascii="Times New Roman" w:hAnsi="Times New Roman" w:cs="Times New Roman"/>
          <w:sz w:val="28"/>
          <w:szCs w:val="28"/>
        </w:rPr>
        <w:t xml:space="preserve">ния на рассмотрение высшего представительного органа хуторского, станичного, городского казачьего общества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 казачьего общества).</w:t>
      </w:r>
      <w:r/>
    </w:p>
    <w:p>
      <w:pPr>
        <w:pStyle w:val="895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Круг казачьего общества на основании письменных заявлений членов казачьего общества принимает решение о приняти</w:t>
      </w:r>
      <w:r>
        <w:rPr>
          <w:rFonts w:ascii="Times New Roman" w:hAnsi="Times New Roman" w:cs="Times New Roman"/>
          <w:sz w:val="28"/>
          <w:szCs w:val="28"/>
        </w:rPr>
        <w:t xml:space="preserve">и ими обязательств по несению службы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Решение круга казачьего общества оформляется в письменной форме и подписывается атаманом казачьего общества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членов казачьего общества </w:t>
      </w:r>
      <w:r>
        <w:rPr>
          <w:rFonts w:ascii="Times New Roman" w:hAnsi="Times New Roman" w:cs="Times New Roman"/>
          <w:sz w:val="28"/>
          <w:szCs w:val="28"/>
        </w:rPr>
        <w:t xml:space="preserve">САОКО</w:t>
      </w:r>
      <w:r>
        <w:rPr>
          <w:rFonts w:ascii="Times New Roman" w:hAnsi="Times New Roman" w:cs="Times New Roman"/>
          <w:sz w:val="28"/>
          <w:szCs w:val="28"/>
        </w:rPr>
        <w:t xml:space="preserve">, заявления которых о принятии обязательств по несению службы утве</w:t>
      </w:r>
      <w:r>
        <w:rPr>
          <w:rFonts w:ascii="Times New Roman" w:hAnsi="Times New Roman" w:cs="Times New Roman"/>
          <w:sz w:val="28"/>
          <w:szCs w:val="28"/>
        </w:rPr>
        <w:t xml:space="preserve">рждены кругом казачьего общества, фиксируется в решении этого круга.</w:t>
      </w:r>
      <w:r/>
    </w:p>
    <w:p>
      <w:pPr>
        <w:pStyle w:val="895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Решение круга хуторского, станичного или городского казачьего общества, входящего непосредственно в состав САОКО, согласовываются с атаманом САОКО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круга САОКО, входящего в с</w:t>
      </w:r>
      <w:r>
        <w:rPr>
          <w:rFonts w:ascii="Times New Roman" w:hAnsi="Times New Roman" w:cs="Times New Roman"/>
          <w:sz w:val="28"/>
          <w:szCs w:val="28"/>
        </w:rPr>
        <w:t xml:space="preserve">остав войскового казачьего общества, согласовывается с атаманом войскового казачьего общества.</w:t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круга хуторских, станичных, городских казачьих обществ, действующих на территории Еврейской автономной области, до их вхождения в состав САОКО, согласу</w:t>
      </w:r>
      <w:r>
        <w:rPr>
          <w:rFonts w:ascii="Times New Roman" w:hAnsi="Times New Roman" w:cs="Times New Roman"/>
          <w:sz w:val="28"/>
          <w:szCs w:val="28"/>
        </w:rPr>
        <w:t xml:space="preserve">ется с атаманами соответствующих хуторских, станичных, городских казачьих обществ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Атаман САОКО не позднее тридцати дней в письменной форме уведомляет атамана </w:t>
      </w:r>
      <w:r>
        <w:rPr>
          <w:rFonts w:ascii="Times New Roman" w:hAnsi="Times New Roman" w:cs="Times New Roman"/>
          <w:sz w:val="28"/>
          <w:szCs w:val="28"/>
        </w:rPr>
        <w:t xml:space="preserve">Уссурийского в</w:t>
      </w:r>
      <w:r>
        <w:rPr>
          <w:rFonts w:ascii="Times New Roman" w:hAnsi="Times New Roman" w:cs="Times New Roman"/>
          <w:sz w:val="28"/>
          <w:szCs w:val="28"/>
        </w:rPr>
        <w:t xml:space="preserve">ойскового казачьего общества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решения круга нижест</w:t>
      </w:r>
      <w:r>
        <w:rPr>
          <w:rFonts w:ascii="Times New Roman" w:hAnsi="Times New Roman" w:cs="Times New Roman"/>
          <w:sz w:val="28"/>
          <w:szCs w:val="28"/>
        </w:rPr>
        <w:t xml:space="preserve">оящего казачьего общества о принятии членами этого казачьего общества обязательств по несению службы.</w:t>
      </w:r>
      <w:r/>
    </w:p>
    <w:p>
      <w:pPr>
        <w:pStyle w:val="895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9. Прохождение членами казачьего общества военной службы осуществляется по призыву и в добровольном порядке (по контракту) в соответствии с законодательст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вом Российской Федерации.</w:t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принятых членами казачьего общества обязательств по несению службы осуществляется в соответствии с приказом Федерального агентства по делам национальностей от 23.11.2015 № 89 «Об утверждении Порядка согласования п</w:t>
      </w:r>
      <w:r>
        <w:rPr>
          <w:rFonts w:ascii="Times New Roman" w:hAnsi="Times New Roman" w:cs="Times New Roman"/>
          <w:sz w:val="28"/>
          <w:szCs w:val="28"/>
        </w:rPr>
        <w:t xml:space="preserve">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11. Оказание членами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казачьего общества содействия органам исполнительной власти в выполнении установленных задач и функций осуществляется на основании заполнения типовой формы договоров (соглашений),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делам национальностей от 23.11.2015 № 89 «Об утверждении Порядка согласования п</w:t>
      </w:r>
      <w:r>
        <w:rPr>
          <w:rFonts w:ascii="Times New Roman" w:hAnsi="Times New Roman" w:cs="Times New Roman"/>
          <w:sz w:val="28"/>
          <w:szCs w:val="28"/>
        </w:rPr>
        <w:t xml:space="preserve">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12. САОКО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подписанные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документы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по внутренней политике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для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Принятые членами казачьего общества обязательства по несению службы, согласованные с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внутренней политике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отражаются в уставе казачьего общест</w:t>
      </w:r>
      <w:r>
        <w:rPr>
          <w:rFonts w:ascii="Times New Roman" w:hAnsi="Times New Roman" w:cs="Times New Roman"/>
          <w:sz w:val="28"/>
          <w:szCs w:val="28"/>
        </w:rPr>
        <w:t xml:space="preserve">ва.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14. Финансирование расходов, связанных с несением службы членами казачьих обществ Еврейской автономной области,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в соответствии с требованиями действующего законодательства на основании договоров (соглашений), заключенных заинтересованными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с казачьими обществами, о привлечении членов казачьих обществ к службе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казачье общество внесено в государственный реестр казачьих обществ в Российской Федерации.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15. Условия финансирования расходов, связанных с выполнением членами казачьих обществ САОКО установленных задач и функций по несению службы, являются нео</w:t>
      </w:r>
      <w:r>
        <w:rPr>
          <w:rFonts w:ascii="Times New Roman" w:hAnsi="Times New Roman" w:cs="Times New Roman"/>
          <w:sz w:val="28"/>
          <w:szCs w:val="28"/>
        </w:rPr>
        <w:t xml:space="preserve">тъемлемой частью каждого договора (соглашения).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16. Финансирование расходов органов исполнительной власти, предусмотренных договором (соглашением), осуществляется в установленном законодательством порядке и в пределах бюджетных ассигн</w:t>
      </w:r>
      <w:r>
        <w:rPr>
          <w:rFonts w:ascii="Times New Roman" w:hAnsi="Times New Roman" w:cs="Times New Roman"/>
          <w:sz w:val="28"/>
          <w:szCs w:val="28"/>
        </w:rPr>
        <w:t xml:space="preserve">ований, утвержденных законом Еврейской автономной области на соответствующий финансовой год и на плановый период.</w:t>
      </w:r>
      <w:r/>
    </w:p>
    <w:p>
      <w:r/>
      <w:r/>
    </w:p>
    <w:sectPr>
      <w:headerReference w:type="default" r:id="rId12"/>
      <w:footnotePr/>
      <w:endnotePr/>
      <w:type w:val="nextPage"/>
      <w:pgSz w:w="11906" w:h="16838" w:orient="portrait"/>
      <w:pgMar w:top="954" w:right="850" w:bottom="964" w:left="1701" w:header="28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 w:cs="Times New Roman"/>
        <w:sz w:val="24"/>
        <w:szCs w:val="24"/>
        <w:highlight w:val="none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  <w:p>
    <w:pPr>
      <w:pStyle w:val="745"/>
      <w:jc w:val="center"/>
      <w:rPr>
        <w:rFonts w:ascii="Times New Roman" w:hAnsi="Times New Roman" w:cs="Times New Roman"/>
        <w:sz w:val="24"/>
        <w:szCs w:val="24"/>
        <w:highlight w:val="none"/>
      </w:rPr>
    </w:pPr>
    <w:r>
      <w:rPr>
        <w:rFonts w:ascii="Times New Roman" w:hAnsi="Times New Roman" w:cs="Times New Roman"/>
        <w:sz w:val="24"/>
        <w:szCs w:val="24"/>
        <w:highlight w:val="none"/>
      </w:rPr>
    </w:r>
    <w:r>
      <w:rPr>
        <w:rFonts w:ascii="Times New Roman" w:hAnsi="Times New Roman" w:cs="Times New Roman"/>
        <w:sz w:val="24"/>
        <w:szCs w:val="24"/>
        <w:highlight w:val="none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  <w:r>
      <w:rPr>
        <w:rFonts w:ascii="Times New Roman" w:hAnsi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</w:style>
  <w:style w:type="paragraph" w:styleId="699">
    <w:name w:val="Heading 1"/>
    <w:basedOn w:val="698"/>
    <w:next w:val="698"/>
    <w:link w:val="72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2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3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3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next w:val="698"/>
    <w:link w:val="73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next w:val="698"/>
    <w:link w:val="73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next w:val="698"/>
    <w:link w:val="73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Header Char"/>
    <w:basedOn w:val="708"/>
    <w:uiPriority w:val="99"/>
  </w:style>
  <w:style w:type="character" w:styleId="725" w:customStyle="1">
    <w:name w:val="Caption Char"/>
    <w:uiPriority w:val="99"/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698"/>
    <w:next w:val="698"/>
    <w:link w:val="738"/>
    <w:uiPriority w:val="10"/>
    <w:qFormat/>
    <w:pPr>
      <w:contextualSpacing/>
      <w:spacing w:before="300"/>
    </w:pPr>
    <w:rPr>
      <w:sz w:val="48"/>
      <w:szCs w:val="48"/>
    </w:rPr>
  </w:style>
  <w:style w:type="character" w:styleId="738" w:customStyle="1">
    <w:name w:val="Заголовок Знак"/>
    <w:link w:val="737"/>
    <w:uiPriority w:val="10"/>
    <w:rPr>
      <w:sz w:val="48"/>
      <w:szCs w:val="48"/>
    </w:rPr>
  </w:style>
  <w:style w:type="paragraph" w:styleId="739">
    <w:name w:val="Subtitle"/>
    <w:basedOn w:val="698"/>
    <w:next w:val="698"/>
    <w:link w:val="740"/>
    <w:uiPriority w:val="11"/>
    <w:qFormat/>
    <w:pPr>
      <w:spacing w:before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698"/>
    <w:next w:val="698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8"/>
    <w:next w:val="698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698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Верхний колонтитул Знак"/>
    <w:link w:val="745"/>
    <w:uiPriority w:val="99"/>
  </w:style>
  <w:style w:type="paragraph" w:styleId="747">
    <w:name w:val="Footer"/>
    <w:basedOn w:val="698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698"/>
    <w:next w:val="69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0" w:customStyle="1">
    <w:name w:val="Нижний колонтитул Знак"/>
    <w:link w:val="747"/>
    <w:uiPriority w:val="99"/>
  </w:style>
  <w:style w:type="table" w:styleId="751">
    <w:name w:val="Table Grid"/>
    <w:basedOn w:val="70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2" w:customStyle="1">
    <w:name w:val="Table Grid Light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563c1" w:themeColor="hyperlink"/>
      <w:u w:val="single"/>
    </w:rPr>
  </w:style>
  <w:style w:type="paragraph" w:styleId="878">
    <w:name w:val="footnote text"/>
    <w:basedOn w:val="698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698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698"/>
    <w:next w:val="698"/>
    <w:uiPriority w:val="39"/>
    <w:unhideWhenUsed/>
    <w:pPr>
      <w:spacing w:after="57"/>
    </w:pPr>
  </w:style>
  <w:style w:type="paragraph" w:styleId="88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9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698"/>
    <w:next w:val="698"/>
    <w:uiPriority w:val="99"/>
    <w:unhideWhenUsed/>
    <w:pPr>
      <w:spacing w:after="0"/>
    </w:pPr>
  </w:style>
  <w:style w:type="paragraph" w:styleId="895">
    <w:name w:val="No Spacing"/>
    <w:basedOn w:val="698"/>
    <w:uiPriority w:val="1"/>
    <w:qFormat/>
    <w:pPr>
      <w:spacing w:after="0" w:line="240" w:lineRule="auto"/>
    </w:pPr>
  </w:style>
  <w:style w:type="paragraph" w:styleId="896">
    <w:name w:val="List Paragraph"/>
    <w:basedOn w:val="698"/>
    <w:uiPriority w:val="34"/>
    <w:qFormat/>
    <w:pPr>
      <w:contextualSpacing/>
      <w:ind w:left="720"/>
    </w:pPr>
  </w:style>
  <w:style w:type="paragraph" w:styleId="897" w:customStyle="1">
    <w:name w:val="Стиль"/>
    <w:pPr>
      <w:ind w:firstLine="720"/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898" w:customStyle="1">
    <w:name w:val="ConsPlusNormal"/>
    <w:pPr>
      <w:ind w:firstLine="720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899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00" w:customStyle="1">
    <w:name w:val="ConsPlusNonformat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created xsi:type="dcterms:W3CDTF">2023-04-04T22:57:00Z</dcterms:created>
  <dcterms:modified xsi:type="dcterms:W3CDTF">2023-06-30T00:13:47Z</dcterms:modified>
</cp:coreProperties>
</file>